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8F" w:rsidRDefault="00576DEB" w:rsidP="00CB14D2">
      <w:pPr>
        <w:spacing w:after="0" w:line="315" w:lineRule="auto"/>
        <w:ind w:left="372"/>
        <w:jc w:val="left"/>
      </w:pPr>
      <w:r>
        <w:rPr>
          <w:b/>
          <w:sz w:val="28"/>
        </w:rPr>
        <w:t xml:space="preserve">Аннотация к рабочим программам по химии на 2023-2024 учебный год </w:t>
      </w:r>
    </w:p>
    <w:p w:rsidR="0051268F" w:rsidRDefault="00576DEB" w:rsidP="00576DEB">
      <w:pPr>
        <w:spacing w:after="0" w:line="240" w:lineRule="auto"/>
        <w:ind w:left="142" w:right="748" w:firstLine="2084"/>
        <w:jc w:val="left"/>
      </w:pPr>
      <w:r>
        <w:rPr>
          <w:b/>
          <w:sz w:val="28"/>
        </w:rPr>
        <w:t>8 -9 классы (основное общее образование)</w:t>
      </w:r>
      <w:r>
        <w:rPr>
          <w:sz w:val="28"/>
        </w:rPr>
        <w:t xml:space="preserve"> </w:t>
      </w:r>
      <w:r>
        <w:t xml:space="preserve">Программа составлена по: </w:t>
      </w:r>
    </w:p>
    <w:p w:rsidR="0051268F" w:rsidRDefault="00576DEB" w:rsidP="00576DEB">
      <w:pPr>
        <w:spacing w:line="240" w:lineRule="auto"/>
        <w:ind w:left="137"/>
      </w:pPr>
      <w:r>
        <w:t xml:space="preserve"> 1. </w:t>
      </w:r>
      <w:proofErr w:type="gramStart"/>
      <w:r>
        <w:t>ФГОС  ООО</w:t>
      </w:r>
      <w:proofErr w:type="gramEnd"/>
      <w:r>
        <w:t xml:space="preserve">  утвержден приказом МО  РФ от 17.12 2010 номер 1897 «Об утверждении </w:t>
      </w:r>
    </w:p>
    <w:p w:rsidR="0051268F" w:rsidRDefault="00576DEB" w:rsidP="00576DEB">
      <w:pPr>
        <w:spacing w:line="240" w:lineRule="auto"/>
        <w:ind w:left="137"/>
      </w:pPr>
      <w:r>
        <w:t xml:space="preserve">ФГОС ООО», </w:t>
      </w:r>
    </w:p>
    <w:p w:rsidR="0051268F" w:rsidRDefault="00576DEB" w:rsidP="00576DEB">
      <w:pPr>
        <w:spacing w:line="240" w:lineRule="auto"/>
        <w:ind w:left="137"/>
      </w:pPr>
      <w:r>
        <w:t xml:space="preserve"> </w:t>
      </w:r>
      <w:r>
        <w:t xml:space="preserve">В соответствии с требованиями ФОП </w:t>
      </w:r>
      <w:proofErr w:type="gramStart"/>
      <w:r>
        <w:t>ООО  приказ</w:t>
      </w:r>
      <w:proofErr w:type="gramEnd"/>
      <w:r>
        <w:t xml:space="preserve"> МП №370 от 18.05 2023г. «Об утверждении ФОП ООО», </w:t>
      </w:r>
    </w:p>
    <w:p w:rsidR="0051268F" w:rsidRDefault="00576DEB" w:rsidP="00576DEB">
      <w:pPr>
        <w:spacing w:after="50" w:line="240" w:lineRule="auto"/>
        <w:ind w:left="137"/>
      </w:pPr>
      <w:r>
        <w:t xml:space="preserve">  2.</w:t>
      </w:r>
      <w:proofErr w:type="gramStart"/>
      <w:r>
        <w:t>Закон  МО</w:t>
      </w:r>
      <w:proofErr w:type="gramEnd"/>
      <w:r>
        <w:t xml:space="preserve"> РФ  от 29.12.2012 г. № 273-ФЗ «Об образовании в Российской федерации.» 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51268F" w:rsidRDefault="00576DEB">
      <w:pPr>
        <w:ind w:left="127" w:firstLine="600"/>
      </w:pPr>
      <w:r>
        <w:t>Программа по химии даёт представление о целях, общей стратегии обучения,</w:t>
      </w:r>
      <w:r>
        <w:t xml:space="preserve">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</w:t>
      </w:r>
      <w:r>
        <w:t xml:space="preserve">ные характеристики содержания, рекомендуемую последовательность изучения химии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</w:t>
      </w:r>
      <w:r>
        <w:t>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</w:t>
      </w:r>
      <w:r>
        <w:t>ого содержания.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ind w:left="752"/>
      </w:pPr>
      <w:r>
        <w:t xml:space="preserve">Изучение химии: 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ind w:left="752"/>
      </w:pPr>
      <w:r>
        <w:t xml:space="preserve">способствует реализации возможностей для саморазвития и формирования </w:t>
      </w:r>
    </w:p>
    <w:p w:rsidR="0051268F" w:rsidRDefault="00576DEB">
      <w:pPr>
        <w:ind w:left="137"/>
      </w:pPr>
      <w:r>
        <w:t xml:space="preserve">культуры личности, её общей и функциональной грамотности; </w:t>
      </w:r>
      <w:r>
        <w:rPr>
          <w:rFonts w:ascii="Calibri" w:eastAsia="Calibri" w:hAnsi="Calibri" w:cs="Calibri"/>
        </w:rPr>
        <w:t xml:space="preserve"> </w:t>
      </w:r>
      <w:r>
        <w:t>вносит вклад в формирование мышления и творческих способностей обучающихся, навыков их самос</w:t>
      </w:r>
      <w:r>
        <w:t>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  <w:r>
        <w:rPr>
          <w:rFonts w:ascii="Calibri" w:eastAsia="Calibri" w:hAnsi="Calibri" w:cs="Calibri"/>
        </w:rPr>
        <w:t xml:space="preserve"> </w:t>
      </w:r>
      <w:r>
        <w:t xml:space="preserve">знакомит со спецификой научного мышления, закладывает основы целостного взгляда на единство природы </w:t>
      </w:r>
      <w:r>
        <w:t xml:space="preserve">и человека, является ответственным этапом в формировании естественно­-научной грамотности </w:t>
      </w:r>
      <w:proofErr w:type="gramStart"/>
      <w:r>
        <w:t xml:space="preserve">обучающихся; </w:t>
      </w:r>
      <w:r>
        <w:rPr>
          <w:rFonts w:ascii="Calibri" w:eastAsia="Calibri" w:hAnsi="Calibri" w:cs="Calibri"/>
        </w:rPr>
        <w:t xml:space="preserve"> </w:t>
      </w:r>
      <w:r>
        <w:t>способствует</w:t>
      </w:r>
      <w:proofErr w:type="gramEnd"/>
      <w:r>
        <w:t xml:space="preserve"> формированию ценностного отношения к естественно-­научным знаниям, к природе, к человеку, вносит свой вклад в экологическое образование обу</w:t>
      </w:r>
      <w:r>
        <w:t>чающихся.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ind w:left="127" w:firstLine="600"/>
      </w:pPr>
      <w: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spacing w:after="41"/>
        <w:ind w:left="127" w:firstLine="600"/>
      </w:pPr>
      <w:r>
        <w:t xml:space="preserve">Структура содержания программы по химии </w:t>
      </w:r>
      <w:r>
        <w:t>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</w:t>
      </w:r>
      <w:r>
        <w:t>ий на основе теоретических представлений разного уровня: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56"/>
        <w:ind w:firstLine="600"/>
      </w:pPr>
      <w:r>
        <w:t>атомно­-молекулярного учения как основы всего естествознания;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54"/>
        <w:ind w:firstLine="600"/>
      </w:pPr>
      <w:r>
        <w:t>Периодического закона Д. И. Менделеева как основного закона химии;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54"/>
        <w:ind w:firstLine="600"/>
      </w:pPr>
      <w:r>
        <w:t>учения о строении атома и химической связи;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ind w:firstLine="600"/>
      </w:pPr>
      <w:r>
        <w:t>представлений об элект</w:t>
      </w:r>
      <w:r>
        <w:t>ролитической диссоциации веществ в растворах.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ind w:left="127" w:firstLine="600"/>
      </w:pPr>
      <w: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</w:t>
      </w:r>
      <w:r>
        <w:lastRenderedPageBreak/>
        <w:t>функции объяснения и прогнозирования свойств, строения и возможностей практического применения и по</w:t>
      </w:r>
      <w:r>
        <w:t>лучения изучаемых веществ.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ind w:left="127" w:firstLine="600"/>
      </w:pPr>
      <w: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spacing w:after="47"/>
        <w:ind w:left="127" w:firstLine="600"/>
      </w:pPr>
      <w:r>
        <w:t>При изучении</w:t>
      </w:r>
      <w:r>
        <w:t xml:space="preserve"> химии на уровне основного общего образования важное значение приобрели такие цели, как: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42"/>
        <w:ind w:firstLine="600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</w:t>
      </w:r>
      <w:r>
        <w:t>имся условиям жизни;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42"/>
        <w:ind w:firstLine="600"/>
      </w:pPr>
      <w: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44"/>
        <w:ind w:firstLine="600"/>
      </w:pPr>
      <w:r>
        <w:t>обеспечение условий, способствующих при</w:t>
      </w:r>
      <w:r>
        <w:t>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43"/>
        <w:ind w:firstLine="600"/>
      </w:pPr>
      <w:r>
        <w:t>формирование общей функциональной и естественно-научной грамотности</w:t>
      </w:r>
      <w:r>
        <w:t>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40"/>
        <w:ind w:firstLine="600"/>
      </w:pPr>
      <w:r>
        <w:t>формирование у обучающихся гуманистических отношени</w:t>
      </w:r>
      <w:r>
        <w:t>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numPr>
          <w:ilvl w:val="0"/>
          <w:numId w:val="1"/>
        </w:numPr>
        <w:spacing w:after="33"/>
        <w:ind w:firstLine="600"/>
      </w:pPr>
      <w:r>
        <w:t>развитие мотивации к обучению, способностей к самоконтролю и самов</w:t>
      </w:r>
      <w:r>
        <w:t>оспитанию на основе усвоения общечеловеческих ценностей, готовности к осознанному выбору профиля и направленности дальнейшего обучения.</w:t>
      </w:r>
      <w:r>
        <w:rPr>
          <w:rFonts w:ascii="Calibri" w:eastAsia="Calibri" w:hAnsi="Calibri" w:cs="Calibri"/>
        </w:rPr>
        <w:t xml:space="preserve"> </w:t>
      </w:r>
    </w:p>
    <w:p w:rsidR="0051268F" w:rsidRDefault="00576DEB">
      <w:pPr>
        <w:spacing w:after="88"/>
        <w:ind w:left="127" w:firstLine="600"/>
      </w:pPr>
      <w:r>
        <w:t>Общее число часов, отведённых для изучения химии на уровне основного общего образования, составляет 136 часов: в 8 клас</w:t>
      </w:r>
      <w:r>
        <w:t xml:space="preserve">се – 68 часов (2 часа в неделю), в 9 классе – 68 часов (2 часа в неделю).  </w:t>
      </w: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CB14D2" w:rsidRDefault="00CB14D2">
      <w:pPr>
        <w:spacing w:after="2" w:line="315" w:lineRule="auto"/>
        <w:ind w:left="737" w:right="748"/>
        <w:jc w:val="left"/>
        <w:rPr>
          <w:b/>
          <w:sz w:val="28"/>
        </w:rPr>
      </w:pPr>
    </w:p>
    <w:p w:rsidR="00576DEB" w:rsidRDefault="00576DEB">
      <w:pPr>
        <w:spacing w:after="2" w:line="315" w:lineRule="auto"/>
        <w:ind w:left="737" w:right="748"/>
        <w:jc w:val="left"/>
        <w:rPr>
          <w:b/>
          <w:sz w:val="28"/>
        </w:rPr>
      </w:pPr>
    </w:p>
    <w:p w:rsidR="0051268F" w:rsidRDefault="0051268F">
      <w:pPr>
        <w:spacing w:after="78" w:line="259" w:lineRule="auto"/>
        <w:ind w:left="142" w:firstLine="0"/>
        <w:jc w:val="left"/>
      </w:pPr>
    </w:p>
    <w:sectPr w:rsidR="0051268F" w:rsidSect="00576DEB">
      <w:pgSz w:w="11906" w:h="16382"/>
      <w:pgMar w:top="1135" w:right="845" w:bottom="114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78D"/>
    <w:multiLevelType w:val="hybridMultilevel"/>
    <w:tmpl w:val="2AAC96A4"/>
    <w:lvl w:ilvl="0" w:tplc="931C1050">
      <w:start w:val="1"/>
      <w:numFmt w:val="bullet"/>
      <w:lvlText w:val="-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008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6DF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6A2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989C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8BF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4B5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69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A2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B596D"/>
    <w:multiLevelType w:val="hybridMultilevel"/>
    <w:tmpl w:val="F80450BE"/>
    <w:lvl w:ilvl="0" w:tplc="FC2A855E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AD4B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E8F8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A817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8EE8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87CD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2C9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E895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FD4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FB4024"/>
    <w:multiLevelType w:val="hybridMultilevel"/>
    <w:tmpl w:val="E284A1D2"/>
    <w:lvl w:ilvl="0" w:tplc="8EC80BCA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39F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2107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8BB5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A353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A6B0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074F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1C7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F91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5026C"/>
    <w:multiLevelType w:val="hybridMultilevel"/>
    <w:tmpl w:val="56707B08"/>
    <w:lvl w:ilvl="0" w:tplc="6BCE324E">
      <w:start w:val="1"/>
      <w:numFmt w:val="bullet"/>
      <w:lvlText w:val="–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C852C">
      <w:start w:val="1"/>
      <w:numFmt w:val="bullet"/>
      <w:lvlText w:val="o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CC1EE">
      <w:start w:val="1"/>
      <w:numFmt w:val="bullet"/>
      <w:lvlText w:val="▪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886E8">
      <w:start w:val="1"/>
      <w:numFmt w:val="bullet"/>
      <w:lvlText w:val="•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C8886">
      <w:start w:val="1"/>
      <w:numFmt w:val="bullet"/>
      <w:lvlText w:val="o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6A936">
      <w:start w:val="1"/>
      <w:numFmt w:val="bullet"/>
      <w:lvlText w:val="▪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C6B2E">
      <w:start w:val="1"/>
      <w:numFmt w:val="bullet"/>
      <w:lvlText w:val="•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06FA">
      <w:start w:val="1"/>
      <w:numFmt w:val="bullet"/>
      <w:lvlText w:val="o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40CCE">
      <w:start w:val="1"/>
      <w:numFmt w:val="bullet"/>
      <w:lvlText w:val="▪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E1B1C"/>
    <w:multiLevelType w:val="hybridMultilevel"/>
    <w:tmpl w:val="52DC39CA"/>
    <w:lvl w:ilvl="0" w:tplc="8084A518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E695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67BC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4219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64F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9E2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2AF0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C02C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8A2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46164"/>
    <w:multiLevelType w:val="hybridMultilevel"/>
    <w:tmpl w:val="08842A80"/>
    <w:lvl w:ilvl="0" w:tplc="F70895D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2A648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48A0C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80724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19F2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67A82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CC9B0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2B288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21126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8F"/>
    <w:rsid w:val="0051268F"/>
    <w:rsid w:val="00576DEB"/>
    <w:rsid w:val="00C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A556"/>
  <w15:docId w15:val="{692D3128-AB6A-4C7B-ABFC-0C7FDBD9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кабинет</dc:creator>
  <cp:keywords/>
  <cp:lastModifiedBy>Ольга Николаевна</cp:lastModifiedBy>
  <cp:revision>4</cp:revision>
  <dcterms:created xsi:type="dcterms:W3CDTF">2024-01-24T10:57:00Z</dcterms:created>
  <dcterms:modified xsi:type="dcterms:W3CDTF">2024-01-24T11:01:00Z</dcterms:modified>
</cp:coreProperties>
</file>